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143C5" w14:textId="77777777" w:rsidR="00E8662B" w:rsidRDefault="00B9173E">
      <w:pPr>
        <w:jc w:val="center"/>
      </w:pPr>
      <w:r>
        <w:rPr>
          <w:b/>
          <w:bCs/>
          <w:color w:val="1F3864"/>
          <w:sz w:val="26"/>
          <w:szCs w:val="26"/>
        </w:rPr>
        <w:t>NON-DISCLOSURE AGREEMENT</w:t>
      </w:r>
    </w:p>
    <w:p w14:paraId="2E7143C6" w14:textId="77777777" w:rsidR="00E8662B" w:rsidRDefault="00E8662B"/>
    <w:p w14:paraId="2E7143C7" w14:textId="77777777" w:rsidR="00E8662B" w:rsidRDefault="00B9173E">
      <w:pPr>
        <w:jc w:val="both"/>
      </w:pPr>
      <w:r>
        <w:t>This Non-Disclosure Agreement (</w:t>
      </w:r>
      <w:r>
        <w:rPr>
          <w:b/>
          <w:bCs/>
        </w:rPr>
        <w:t>"Agreement"</w:t>
      </w:r>
      <w:r>
        <w:t xml:space="preserve">) is entered into as of </w:t>
      </w:r>
      <w:r w:rsidRPr="00107F97">
        <w:rPr>
          <w:color w:val="0000FF"/>
        </w:rPr>
        <w:t>&lt;DD Month YYYY&gt;</w:t>
      </w:r>
      <w:r>
        <w:t xml:space="preserve"> ("Effective Date"), by and between:</w:t>
      </w:r>
    </w:p>
    <w:p w14:paraId="2E7143C8" w14:textId="77777777" w:rsidR="00E8662B" w:rsidRDefault="00E8662B"/>
    <w:p w14:paraId="2E7143C9" w14:textId="19DB6CB6" w:rsidR="00E8662B" w:rsidRDefault="00025AF2" w:rsidP="0093535C">
      <w:pPr>
        <w:jc w:val="both"/>
      </w:pPr>
      <w:r w:rsidRPr="00107F97">
        <w:rPr>
          <w:b/>
          <w:bCs/>
          <w:color w:val="0000FF"/>
          <w:lang w:val="x-none"/>
        </w:rPr>
        <w:t>&lt;Name of Company&gt;</w:t>
      </w:r>
      <w:r>
        <w:rPr>
          <w:b/>
          <w:bCs/>
          <w:lang w:val="x-none"/>
        </w:rPr>
        <w:t>,</w:t>
      </w:r>
      <w:r w:rsidR="0093535C" w:rsidRPr="0093535C">
        <w:rPr>
          <w:lang w:val="x-none"/>
        </w:rPr>
        <w:t xml:space="preserve"> is </w:t>
      </w:r>
      <w:r w:rsidR="003641A4">
        <w:rPr>
          <w:lang w:val="x-none"/>
        </w:rPr>
        <w:t xml:space="preserve">a </w:t>
      </w:r>
      <w:r>
        <w:rPr>
          <w:lang w:val="x-none"/>
        </w:rPr>
        <w:t>Private Limited</w:t>
      </w:r>
      <w:r w:rsidR="00B65849">
        <w:rPr>
          <w:lang w:val="x-none"/>
        </w:rPr>
        <w:t>/OPC/Public Limited</w:t>
      </w:r>
      <w:r>
        <w:rPr>
          <w:lang w:val="x-none"/>
        </w:rPr>
        <w:t xml:space="preserve"> company</w:t>
      </w:r>
      <w:r w:rsidR="0093535C" w:rsidRPr="0093535C">
        <w:rPr>
          <w:lang w:val="x-none"/>
        </w:rPr>
        <w:t xml:space="preserve"> incorporated under the Companies Act, 2013 of India bearing CIN - </w:t>
      </w:r>
      <w:r w:rsidRPr="00107F97">
        <w:rPr>
          <w:color w:val="0000FF"/>
          <w:lang w:val="x-none"/>
        </w:rPr>
        <w:t>&lt;CIN of Company&gt;</w:t>
      </w:r>
      <w:r w:rsidR="0093535C" w:rsidRPr="0093535C">
        <w:rPr>
          <w:lang w:val="x-none"/>
        </w:rPr>
        <w:t xml:space="preserve"> and having its registered office at</w:t>
      </w:r>
      <w:r w:rsidR="00727237">
        <w:rPr>
          <w:lang w:val="x-none"/>
        </w:rPr>
        <w:t>-</w:t>
      </w:r>
      <w:r w:rsidR="0093535C" w:rsidRPr="0093535C">
        <w:rPr>
          <w:lang w:val="x-none"/>
        </w:rPr>
        <w:t xml:space="preserve"> </w:t>
      </w:r>
      <w:r w:rsidR="00664945" w:rsidRPr="00107F97">
        <w:rPr>
          <w:color w:val="0000FF"/>
          <w:lang w:val="x-none"/>
        </w:rPr>
        <w:t>&lt;</w:t>
      </w:r>
      <w:r w:rsidR="00107F97" w:rsidRPr="00107F97">
        <w:rPr>
          <w:color w:val="0000FF"/>
          <w:lang w:val="x-none"/>
        </w:rPr>
        <w:t>Registered office address&gt;</w:t>
      </w:r>
      <w:r w:rsidR="00B9173E">
        <w:t xml:space="preserve"> ("</w:t>
      </w:r>
      <w:r w:rsidR="00B9173E">
        <w:rPr>
          <w:b/>
          <w:bCs/>
        </w:rPr>
        <w:t>Party A</w:t>
      </w:r>
      <w:r w:rsidR="00B9173E">
        <w:t>");</w:t>
      </w:r>
    </w:p>
    <w:p w14:paraId="2E7143CA" w14:textId="77777777" w:rsidR="00E8662B" w:rsidRDefault="00E8662B"/>
    <w:p w14:paraId="2E7143CB" w14:textId="77777777" w:rsidR="00E8662B" w:rsidRPr="008A2FEA" w:rsidRDefault="00B9173E" w:rsidP="008A2FEA">
      <w:pPr>
        <w:jc w:val="center"/>
        <w:rPr>
          <w:b/>
          <w:bCs/>
        </w:rPr>
      </w:pPr>
      <w:r w:rsidRPr="008A2FEA">
        <w:rPr>
          <w:b/>
          <w:bCs/>
        </w:rPr>
        <w:t>AND</w:t>
      </w:r>
    </w:p>
    <w:p w14:paraId="2E7143CC" w14:textId="77777777" w:rsidR="00E8662B" w:rsidRPr="00107F97" w:rsidRDefault="00E8662B">
      <w:pPr>
        <w:rPr>
          <w:lang w:val="en-US"/>
        </w:rPr>
      </w:pPr>
    </w:p>
    <w:p w14:paraId="3C56A101" w14:textId="118E6771" w:rsidR="00107F97" w:rsidRDefault="00107F97" w:rsidP="00107F97">
      <w:pPr>
        <w:jc w:val="both"/>
      </w:pPr>
      <w:r w:rsidRPr="00107F97">
        <w:rPr>
          <w:b/>
          <w:bCs/>
          <w:color w:val="0000FF"/>
          <w:lang w:val="x-none"/>
        </w:rPr>
        <w:t>&lt;Name of Company&gt;</w:t>
      </w:r>
      <w:r>
        <w:rPr>
          <w:b/>
          <w:bCs/>
          <w:lang w:val="x-none"/>
        </w:rPr>
        <w:t>,</w:t>
      </w:r>
      <w:r w:rsidRPr="0093535C">
        <w:rPr>
          <w:lang w:val="x-none"/>
        </w:rPr>
        <w:t xml:space="preserve"> is </w:t>
      </w:r>
      <w:r>
        <w:rPr>
          <w:lang w:val="x-none"/>
        </w:rPr>
        <w:t xml:space="preserve">a </w:t>
      </w:r>
      <w:r w:rsidR="00B65849">
        <w:rPr>
          <w:lang w:val="x-none"/>
        </w:rPr>
        <w:t>Private Limited/OPC/Public Limited</w:t>
      </w:r>
      <w:r>
        <w:rPr>
          <w:lang w:val="x-none"/>
        </w:rPr>
        <w:t xml:space="preserve"> company</w:t>
      </w:r>
      <w:r w:rsidRPr="0093535C">
        <w:rPr>
          <w:lang w:val="x-none"/>
        </w:rPr>
        <w:t xml:space="preserve"> incorporated under the Companies Act, 2013 of India bearing CIN - </w:t>
      </w:r>
      <w:r w:rsidRPr="00107F97">
        <w:rPr>
          <w:color w:val="0000FF"/>
          <w:lang w:val="x-none"/>
        </w:rPr>
        <w:t>&lt;CIN of Company&gt;</w:t>
      </w:r>
      <w:r w:rsidRPr="0093535C">
        <w:rPr>
          <w:lang w:val="x-none"/>
        </w:rPr>
        <w:t xml:space="preserve"> and having its registered office at</w:t>
      </w:r>
      <w:r>
        <w:rPr>
          <w:lang w:val="x-none"/>
        </w:rPr>
        <w:t>-</w:t>
      </w:r>
      <w:r w:rsidRPr="0093535C">
        <w:rPr>
          <w:lang w:val="x-none"/>
        </w:rPr>
        <w:t xml:space="preserve"> </w:t>
      </w:r>
      <w:r w:rsidRPr="00107F97">
        <w:rPr>
          <w:color w:val="0000FF"/>
          <w:lang w:val="x-none"/>
        </w:rPr>
        <w:t>&lt;Registered office address&gt;</w:t>
      </w:r>
      <w:r>
        <w:t xml:space="preserve"> ("</w:t>
      </w:r>
      <w:r>
        <w:rPr>
          <w:b/>
          <w:bCs/>
        </w:rPr>
        <w:t xml:space="preserve">Party </w:t>
      </w:r>
      <w:r>
        <w:rPr>
          <w:b/>
          <w:bCs/>
        </w:rPr>
        <w:t>B</w:t>
      </w:r>
      <w:r>
        <w:t>");</w:t>
      </w:r>
    </w:p>
    <w:p w14:paraId="2E7143CE" w14:textId="77777777" w:rsidR="00E8662B" w:rsidRDefault="00E8662B"/>
    <w:p w14:paraId="2E7143CF" w14:textId="77777777" w:rsidR="00E8662B" w:rsidRDefault="00B9173E">
      <w:pPr>
        <w:jc w:val="both"/>
      </w:pPr>
      <w:r>
        <w:t xml:space="preserve">Party A and Party B are hereinafter individually referred to as </w:t>
      </w:r>
      <w:r>
        <w:rPr>
          <w:b/>
          <w:bCs/>
        </w:rPr>
        <w:t>"Party"</w:t>
      </w:r>
      <w:r>
        <w:t xml:space="preserve"> and collectively as </w:t>
      </w:r>
      <w:r>
        <w:rPr>
          <w:b/>
          <w:bCs/>
        </w:rPr>
        <w:t>"Parties"</w:t>
      </w:r>
      <w:r>
        <w:t>.</w:t>
      </w:r>
    </w:p>
    <w:p w14:paraId="2E7143D0" w14:textId="77777777" w:rsidR="00E8662B" w:rsidRDefault="00E8662B"/>
    <w:p w14:paraId="2E7143D1" w14:textId="77777777" w:rsidR="00E8662B" w:rsidRDefault="00B9173E">
      <w:pPr>
        <w:shd w:val="clear" w:color="auto" w:fill="FFFFCC"/>
      </w:pPr>
      <w:r>
        <w:rPr>
          <w:b/>
          <w:bCs/>
          <w:color w:val="1F3864"/>
          <w:sz w:val="22"/>
          <w:szCs w:val="22"/>
        </w:rPr>
        <w:t>1. Purpose</w:t>
      </w:r>
    </w:p>
    <w:p w14:paraId="2E7143D2" w14:textId="045FA9EA" w:rsidR="00E8662B" w:rsidRDefault="00B9173E">
      <w:pPr>
        <w:ind w:left="360" w:hanging="360"/>
        <w:jc w:val="both"/>
      </w:pPr>
      <w:r>
        <w:t>1.1.</w:t>
      </w:r>
      <w:r>
        <w:tab/>
        <w:t xml:space="preserve">The Parties intend to explore, evaluate </w:t>
      </w:r>
      <w:r w:rsidR="000D04A5">
        <w:t xml:space="preserve">future business planning and arrangements </w:t>
      </w:r>
      <w:r>
        <w:t>(the "</w:t>
      </w:r>
      <w:r>
        <w:rPr>
          <w:b/>
          <w:bCs/>
        </w:rPr>
        <w:t>Purpose</w:t>
      </w:r>
      <w:r>
        <w:t>"). In connection with the Purpose, each Party may disclose certain Confidential Information to the other Party.</w:t>
      </w:r>
    </w:p>
    <w:p w14:paraId="2E7143D3" w14:textId="77777777" w:rsidR="00E8662B" w:rsidRDefault="00E8662B"/>
    <w:p w14:paraId="2E7143D4" w14:textId="77777777" w:rsidR="00E8662B" w:rsidRDefault="00B9173E">
      <w:pPr>
        <w:shd w:val="clear" w:color="auto" w:fill="FFFFCC"/>
      </w:pPr>
      <w:r>
        <w:rPr>
          <w:b/>
          <w:bCs/>
          <w:color w:val="1F3864"/>
          <w:sz w:val="22"/>
          <w:szCs w:val="22"/>
        </w:rPr>
        <w:t>2. Definitions</w:t>
      </w:r>
    </w:p>
    <w:p w14:paraId="2E7143D5" w14:textId="77777777" w:rsidR="00E8662B" w:rsidRDefault="00B9173E">
      <w:pPr>
        <w:ind w:left="360" w:hanging="360"/>
        <w:jc w:val="both"/>
      </w:pPr>
      <w:r>
        <w:t>2.1.</w:t>
      </w:r>
      <w:r>
        <w:tab/>
        <w:t>"</w:t>
      </w:r>
      <w:r>
        <w:rPr>
          <w:b/>
          <w:bCs/>
        </w:rPr>
        <w:t>Confidential Information</w:t>
      </w:r>
      <w:r>
        <w:t>" means any and all non-public, proprietary or sensitive information disclosed by one Party ("</w:t>
      </w:r>
      <w:r>
        <w:rPr>
          <w:b/>
          <w:bCs/>
        </w:rPr>
        <w:t>Disclosing Party</w:t>
      </w:r>
      <w:r>
        <w:t>") to the other Party ("</w:t>
      </w:r>
      <w:r>
        <w:rPr>
          <w:b/>
          <w:bCs/>
        </w:rPr>
        <w:t>Receiving Party</w:t>
      </w:r>
      <w:r>
        <w:t>"), whether in written, oral, electronic, visual or any other form, including but not limited to: business plans, financial data, trade secrets, technical know-how, customer / supplier lists, pricing, strategies, software, processes and intellectual property.</w:t>
      </w:r>
    </w:p>
    <w:p w14:paraId="2E7143D6" w14:textId="77777777" w:rsidR="00E8662B" w:rsidRDefault="00B9173E">
      <w:pPr>
        <w:ind w:left="360" w:hanging="360"/>
        <w:jc w:val="both"/>
      </w:pPr>
      <w:r>
        <w:t>2.2.</w:t>
      </w:r>
      <w:r>
        <w:tab/>
        <w:t>"</w:t>
      </w:r>
      <w:r>
        <w:rPr>
          <w:b/>
          <w:bCs/>
        </w:rPr>
        <w:t>Key Personnel</w:t>
      </w:r>
      <w:r>
        <w:t>" means any employee, consultant, officer, director, agent, or contractor of a Party who has been introduced to, engaged with, or become known to the other Party in connection with the Purpose or through the performance of this Agreement.</w:t>
      </w:r>
    </w:p>
    <w:p w14:paraId="2E7143D7" w14:textId="43BB99E8" w:rsidR="00E8662B" w:rsidRDefault="00B9173E">
      <w:pPr>
        <w:ind w:left="360" w:hanging="360"/>
        <w:jc w:val="both"/>
      </w:pPr>
      <w:r>
        <w:t>2.3.</w:t>
      </w:r>
      <w:r>
        <w:tab/>
        <w:t>"</w:t>
      </w:r>
      <w:r>
        <w:rPr>
          <w:b/>
          <w:bCs/>
        </w:rPr>
        <w:t>Restricted Period</w:t>
      </w:r>
      <w:r>
        <w:t>" means a period o</w:t>
      </w:r>
      <w:r w:rsidRPr="003641A4">
        <w:t>f two (2) years</w:t>
      </w:r>
      <w:r>
        <w:t xml:space="preserve"> from the Effective Date or from the date of termination of this Agreement, whichever is later.</w:t>
      </w:r>
    </w:p>
    <w:p w14:paraId="2E7143D8" w14:textId="77777777" w:rsidR="00E8662B" w:rsidRDefault="00E8662B"/>
    <w:p w14:paraId="2E7143D9" w14:textId="77777777" w:rsidR="00E8662B" w:rsidRDefault="00B9173E">
      <w:pPr>
        <w:shd w:val="clear" w:color="auto" w:fill="FFFFCC"/>
      </w:pPr>
      <w:r>
        <w:rPr>
          <w:b/>
          <w:bCs/>
          <w:color w:val="1F3864"/>
          <w:sz w:val="22"/>
          <w:szCs w:val="22"/>
        </w:rPr>
        <w:t>3. Confidentiality Obligations</w:t>
      </w:r>
    </w:p>
    <w:p w14:paraId="2E7143DA" w14:textId="77777777" w:rsidR="00E8662B" w:rsidRDefault="00B9173E">
      <w:pPr>
        <w:ind w:left="360" w:hanging="360"/>
        <w:jc w:val="both"/>
      </w:pPr>
      <w:r>
        <w:t>3.1.</w:t>
      </w:r>
      <w:r>
        <w:tab/>
        <w:t>The Receiving Party shall:</w:t>
      </w:r>
    </w:p>
    <w:p w14:paraId="2E7143DB" w14:textId="77777777" w:rsidR="00E8662B" w:rsidRDefault="00B9173E">
      <w:pPr>
        <w:ind w:left="720" w:hanging="360"/>
        <w:jc w:val="both"/>
      </w:pPr>
      <w:r>
        <w:t>a.</w:t>
      </w:r>
      <w:r>
        <w:tab/>
      </w:r>
      <w:proofErr w:type="gramStart"/>
      <w:r>
        <w:t>hold</w:t>
      </w:r>
      <w:proofErr w:type="gramEnd"/>
      <w:r>
        <w:t xml:space="preserve"> all Confidential Information in strict confidence;</w:t>
      </w:r>
    </w:p>
    <w:p w14:paraId="2E7143DC" w14:textId="77777777" w:rsidR="00E8662B" w:rsidRDefault="00B9173E">
      <w:pPr>
        <w:ind w:left="720" w:hanging="360"/>
        <w:jc w:val="both"/>
      </w:pPr>
      <w:r>
        <w:t>b.</w:t>
      </w:r>
      <w:r>
        <w:tab/>
      </w:r>
      <w:proofErr w:type="gramStart"/>
      <w:r>
        <w:t>use</w:t>
      </w:r>
      <w:proofErr w:type="gramEnd"/>
      <w:r>
        <w:t xml:space="preserve"> Confidential Information solely for the Purpose and for no other purpose;</w:t>
      </w:r>
    </w:p>
    <w:p w14:paraId="2E7143DD" w14:textId="77777777" w:rsidR="00E8662B" w:rsidRDefault="00B9173E">
      <w:pPr>
        <w:ind w:left="720" w:hanging="360"/>
        <w:jc w:val="both"/>
      </w:pPr>
      <w:r>
        <w:t>c.</w:t>
      </w:r>
      <w:r>
        <w:tab/>
      </w:r>
      <w:proofErr w:type="gramStart"/>
      <w:r>
        <w:t>not disclose</w:t>
      </w:r>
      <w:proofErr w:type="gramEnd"/>
      <w:r>
        <w:t xml:space="preserve"> Confidential Information to any third party without the prior written consent of the Disclosing Party; and</w:t>
      </w:r>
    </w:p>
    <w:p w14:paraId="2E7143DE" w14:textId="77777777" w:rsidR="00E8662B" w:rsidRDefault="00B9173E">
      <w:pPr>
        <w:ind w:left="720" w:hanging="360"/>
        <w:jc w:val="both"/>
      </w:pPr>
      <w:r>
        <w:t>d.</w:t>
      </w:r>
      <w:r>
        <w:tab/>
      </w:r>
      <w:proofErr w:type="gramStart"/>
      <w:r>
        <w:t>restrict</w:t>
      </w:r>
      <w:proofErr w:type="gramEnd"/>
      <w:r>
        <w:t xml:space="preserve"> internal disclosure to those employees, advisors or representatives who have a strict need-to-know and who are bound by confidentiality obligations no less stringent than those contained herein.</w:t>
      </w:r>
    </w:p>
    <w:p w14:paraId="2E7143DF" w14:textId="77777777" w:rsidR="00E8662B" w:rsidRDefault="00B9173E">
      <w:pPr>
        <w:ind w:left="360" w:hanging="360"/>
        <w:jc w:val="both"/>
      </w:pPr>
      <w:r>
        <w:t>3.2.</w:t>
      </w:r>
      <w:r>
        <w:tab/>
        <w:t>Clause 3.1 shall not apply to information that: (a) is or becomes publicly available through no breach of this Agreement; (b) was already known to the Receiving Party prior to disclosure; (c) is independently developed by the Receiving Party without use of Confidential Information; or (d) is required to be disclosed by applicable law, regulation or court order, provided the Receiving Party gives prompt prior written notice to the Disclosing Party, to the extent permitted by law.</w:t>
      </w:r>
    </w:p>
    <w:p w14:paraId="2E7143E0" w14:textId="77777777" w:rsidR="00E8662B" w:rsidRDefault="00B9173E">
      <w:pPr>
        <w:ind w:left="360" w:hanging="360"/>
        <w:jc w:val="both"/>
      </w:pPr>
      <w:r>
        <w:lastRenderedPageBreak/>
        <w:t>3.3.</w:t>
      </w:r>
      <w:r>
        <w:tab/>
        <w:t>All Confidential Information shall remain the property of the Disclosing Party. Upon written request, the Receiving Party shall promptly return or destroy all Confidential Information and certify such return or destruction in writing.</w:t>
      </w:r>
    </w:p>
    <w:p w14:paraId="2E7143E1" w14:textId="77777777" w:rsidR="00E8662B" w:rsidRDefault="00E8662B"/>
    <w:p w14:paraId="2E7143E2" w14:textId="77777777" w:rsidR="00E8662B" w:rsidRDefault="00B9173E">
      <w:pPr>
        <w:shd w:val="clear" w:color="auto" w:fill="FFFFCC"/>
      </w:pPr>
      <w:r>
        <w:rPr>
          <w:b/>
          <w:bCs/>
          <w:color w:val="1F3864"/>
          <w:sz w:val="22"/>
          <w:szCs w:val="22"/>
        </w:rPr>
        <w:t>4. Non-Solicitation &amp; Anti-Poaching</w:t>
      </w:r>
    </w:p>
    <w:p w14:paraId="2E7143E3" w14:textId="77777777" w:rsidR="00E8662B" w:rsidRDefault="00B9173E">
      <w:pPr>
        <w:ind w:left="360" w:hanging="360"/>
        <w:jc w:val="both"/>
      </w:pPr>
      <w:r>
        <w:t>4.1.</w:t>
      </w:r>
      <w:r>
        <w:tab/>
        <w:t>During the Restricted Period, neither Party shall, without the prior written consent of the other Party, directly or indirectly:</w:t>
      </w:r>
    </w:p>
    <w:p w14:paraId="2E7143E4" w14:textId="77777777" w:rsidR="00E8662B" w:rsidRDefault="00B9173E">
      <w:pPr>
        <w:ind w:left="720" w:hanging="360"/>
        <w:jc w:val="both"/>
      </w:pPr>
      <w:r>
        <w:t>a.</w:t>
      </w:r>
      <w:r>
        <w:tab/>
      </w:r>
      <w:proofErr w:type="gramStart"/>
      <w:r>
        <w:t>solicit</w:t>
      </w:r>
      <w:proofErr w:type="gramEnd"/>
      <w:r>
        <w:t>, recruit, headhunt, or otherwise seek to engage or employ any Key Personnel of the other Party, whether as an employee, independent contractor, consultant, advisor or in any other capacity;</w:t>
      </w:r>
    </w:p>
    <w:p w14:paraId="2E7143E5" w14:textId="77777777" w:rsidR="00E8662B" w:rsidRDefault="00B9173E">
      <w:pPr>
        <w:ind w:left="720" w:hanging="360"/>
        <w:jc w:val="both"/>
      </w:pPr>
      <w:r>
        <w:t>b.</w:t>
      </w:r>
      <w:r>
        <w:tab/>
      </w:r>
      <w:proofErr w:type="gramStart"/>
      <w:r>
        <w:t>induce</w:t>
      </w:r>
      <w:proofErr w:type="gramEnd"/>
      <w:r>
        <w:t>, encourage, persuade, or influence any Key Personnel of the other Party to leave, terminate, or reduce their engagement with that Party, whether for the benefit of the inducing Party or any third party; or</w:t>
      </w:r>
    </w:p>
    <w:p w14:paraId="2E7143E6" w14:textId="77777777" w:rsidR="00E8662B" w:rsidRDefault="00B9173E">
      <w:pPr>
        <w:ind w:left="720" w:hanging="360"/>
        <w:jc w:val="both"/>
      </w:pPr>
      <w:r>
        <w:t>c.</w:t>
      </w:r>
      <w:r>
        <w:tab/>
        <w:t>approach or communicate with any Key Personnel of the other Party for the purpose of exploring, offering, or facilitating any opportunity that would result in such person departing from or reducing their commitment to the other Party.</w:t>
      </w:r>
    </w:p>
    <w:p w14:paraId="2E7143E7" w14:textId="77777777" w:rsidR="00E8662B" w:rsidRDefault="00B9173E">
      <w:pPr>
        <w:ind w:left="360" w:hanging="360"/>
        <w:jc w:val="both"/>
      </w:pPr>
      <w:r>
        <w:t>4.2.</w:t>
      </w:r>
      <w:r>
        <w:tab/>
        <w:t xml:space="preserve">Clause 4.1 shall not apply to: (a) </w:t>
      </w:r>
      <w:proofErr w:type="gramStart"/>
      <w:r>
        <w:t>general public</w:t>
      </w:r>
      <w:proofErr w:type="gramEnd"/>
      <w:r>
        <w:t xml:space="preserve"> advertisements or job postings not specifically targeted at the other Party's Key Personnel; or (b) any Key Personnel who independently approaches the non-employing Party without any prior solicitation, inducement or encouragement by that Party or its representatives.</w:t>
      </w:r>
    </w:p>
    <w:p w14:paraId="2E7143E8" w14:textId="265F3845" w:rsidR="00E8662B" w:rsidRDefault="00B9173E">
      <w:pPr>
        <w:ind w:left="360" w:hanging="360"/>
        <w:jc w:val="both"/>
      </w:pPr>
      <w:r>
        <w:t>4.3.</w:t>
      </w:r>
      <w:r>
        <w:tab/>
        <w:t xml:space="preserve">In the event of a breach of Clause 4.1, the non-breaching Party shall be entitled to claim, as a genuine pre-estimate of loss and not as a penalty, liquidated damages </w:t>
      </w:r>
      <w:r w:rsidRPr="004A7A38">
        <w:t xml:space="preserve">equivalent to </w:t>
      </w:r>
      <w:r w:rsidR="004A7A38" w:rsidRPr="004A7A38">
        <w:t>twelve</w:t>
      </w:r>
      <w:r w:rsidRPr="004A7A38">
        <w:t xml:space="preserve"> (</w:t>
      </w:r>
      <w:r w:rsidR="004A7A38" w:rsidRPr="004A7A38">
        <w:t>12</w:t>
      </w:r>
      <w:r w:rsidRPr="004A7A38">
        <w:t>) months' gross remuneration of th</w:t>
      </w:r>
      <w:r>
        <w:t>e relevant Key Personnel at the time of the breach, in addition to any other remedies available at law or in equity.</w:t>
      </w:r>
    </w:p>
    <w:p w14:paraId="2E7143E9" w14:textId="77777777" w:rsidR="00E8662B" w:rsidRDefault="00B9173E">
      <w:pPr>
        <w:ind w:left="360" w:hanging="360"/>
        <w:jc w:val="both"/>
      </w:pPr>
      <w:r>
        <w:t>4.4.</w:t>
      </w:r>
      <w:r>
        <w:tab/>
        <w:t>The Parties acknowledge that the restrictions in this Clause 4 are reasonable and necessary to protect the legitimate business interests of each Party. If any restriction is held by a court of competent jurisdiction to be unenforceable, it shall be deemed modified to the minimum extent necessary to make it enforceable, and the remaining restrictions shall continue in full force.</w:t>
      </w:r>
    </w:p>
    <w:p w14:paraId="2E7143EA" w14:textId="77777777" w:rsidR="00E8662B" w:rsidRDefault="00E8662B"/>
    <w:p w14:paraId="2E7143EB" w14:textId="77777777" w:rsidR="00E8662B" w:rsidRDefault="00B9173E">
      <w:pPr>
        <w:shd w:val="clear" w:color="auto" w:fill="FFFFCC"/>
      </w:pPr>
      <w:r>
        <w:rPr>
          <w:b/>
          <w:bCs/>
          <w:color w:val="1F3864"/>
          <w:sz w:val="22"/>
          <w:szCs w:val="22"/>
        </w:rPr>
        <w:t>5. Term &amp; Termination</w:t>
      </w:r>
    </w:p>
    <w:p w14:paraId="2E7143EC" w14:textId="610B44EF" w:rsidR="00E8662B" w:rsidRDefault="00B9173E">
      <w:pPr>
        <w:ind w:left="360" w:hanging="360"/>
        <w:jc w:val="both"/>
      </w:pPr>
      <w:r>
        <w:t>5.1.</w:t>
      </w:r>
      <w:r>
        <w:tab/>
        <w:t xml:space="preserve">This Agreement shall commence on the Effective Date and shall remain in force for a period of </w:t>
      </w:r>
      <w:r>
        <w:rPr>
          <w:color w:val="0000FF"/>
        </w:rPr>
        <w:t>t</w:t>
      </w:r>
      <w:r w:rsidR="00F75CC5">
        <w:rPr>
          <w:color w:val="0000FF"/>
        </w:rPr>
        <w:t>wo</w:t>
      </w:r>
      <w:r>
        <w:rPr>
          <w:color w:val="0000FF"/>
        </w:rPr>
        <w:t xml:space="preserve"> (</w:t>
      </w:r>
      <w:r w:rsidR="00F75CC5">
        <w:rPr>
          <w:color w:val="0000FF"/>
        </w:rPr>
        <w:t>2</w:t>
      </w:r>
      <w:r>
        <w:rPr>
          <w:color w:val="0000FF"/>
        </w:rPr>
        <w:t>) years</w:t>
      </w:r>
      <w:r>
        <w:t xml:space="preserve">, unless earlier terminated by either Party upon </w:t>
      </w:r>
      <w:r>
        <w:rPr>
          <w:color w:val="0000FF"/>
        </w:rPr>
        <w:t>thirty (30)</w:t>
      </w:r>
      <w:r>
        <w:t xml:space="preserve"> days' written notice to the other Party.</w:t>
      </w:r>
    </w:p>
    <w:p w14:paraId="2E7143ED" w14:textId="77777777" w:rsidR="00E8662B" w:rsidRDefault="00B9173E">
      <w:pPr>
        <w:ind w:left="360" w:hanging="360"/>
        <w:jc w:val="both"/>
      </w:pPr>
      <w:r>
        <w:t>5.2.</w:t>
      </w:r>
      <w:r>
        <w:tab/>
        <w:t>Notwithstanding termination or expiry, the obligations under Clause 3 (Confidentiality Obligations) and Clause 4 (Non-Solicitation &amp; Anti-Poaching) shall survive for the duration of the Restricted Period applicable to each respective obligation.</w:t>
      </w:r>
    </w:p>
    <w:p w14:paraId="2E7143EE" w14:textId="77777777" w:rsidR="00E8662B" w:rsidRDefault="00E8662B"/>
    <w:p w14:paraId="2E7143EF" w14:textId="77777777" w:rsidR="00E8662B" w:rsidRDefault="00B9173E">
      <w:pPr>
        <w:shd w:val="clear" w:color="auto" w:fill="FFFFCC"/>
      </w:pPr>
      <w:r>
        <w:rPr>
          <w:b/>
          <w:bCs/>
          <w:color w:val="1F3864"/>
          <w:sz w:val="22"/>
          <w:szCs w:val="22"/>
        </w:rPr>
        <w:t>6. Remedies</w:t>
      </w:r>
    </w:p>
    <w:p w14:paraId="2E7143F0" w14:textId="77777777" w:rsidR="00E8662B" w:rsidRDefault="00B9173E">
      <w:pPr>
        <w:ind w:left="360" w:hanging="360"/>
        <w:jc w:val="both"/>
      </w:pPr>
      <w:r>
        <w:t>6.1.</w:t>
      </w:r>
      <w:r>
        <w:tab/>
        <w:t>Each Party acknowledges that a breach of this Agreement would cause irreparable harm to the other Party, for which monetary damages alone may not be an adequate remedy. Accordingly, the non-breaching Party shall be entitled to seek injunctive relief or other equitable remedies, in addition to all other remedies available at law or in equity, without the requirement to post bond or other security.</w:t>
      </w:r>
    </w:p>
    <w:p w14:paraId="2E7143F1" w14:textId="77777777" w:rsidR="00E8662B" w:rsidRDefault="00E8662B"/>
    <w:p w14:paraId="2E7143F2" w14:textId="77777777" w:rsidR="00E8662B" w:rsidRDefault="00B9173E">
      <w:pPr>
        <w:shd w:val="clear" w:color="auto" w:fill="FFFFCC"/>
      </w:pPr>
      <w:r>
        <w:rPr>
          <w:b/>
          <w:bCs/>
          <w:color w:val="1F3864"/>
          <w:sz w:val="22"/>
          <w:szCs w:val="22"/>
        </w:rPr>
        <w:t>7. General</w:t>
      </w:r>
    </w:p>
    <w:p w14:paraId="2E7143F3" w14:textId="3581D39D" w:rsidR="00E8662B" w:rsidRDefault="00B9173E">
      <w:pPr>
        <w:ind w:left="360" w:hanging="360"/>
        <w:jc w:val="both"/>
      </w:pPr>
      <w:r>
        <w:t>7.1.</w:t>
      </w:r>
      <w:r>
        <w:tab/>
        <w:t xml:space="preserve">Governing Law &amp; Jurisdiction. This Agreement shall be governed by and construed in accordance with the laws of </w:t>
      </w:r>
      <w:r w:rsidR="00F75CC5">
        <w:rPr>
          <w:color w:val="0000FF"/>
        </w:rPr>
        <w:t>Republic of India</w:t>
      </w:r>
      <w:r>
        <w:t xml:space="preserve">. Any dispute arising out of or in connection with this Agreement shall be subject to the exclusive jurisdiction of the courts at </w:t>
      </w:r>
      <w:r w:rsidR="00F75CC5">
        <w:rPr>
          <w:color w:val="0000FF"/>
        </w:rPr>
        <w:t>Pune</w:t>
      </w:r>
      <w:r>
        <w:t>.</w:t>
      </w:r>
    </w:p>
    <w:p w14:paraId="2E7143F4" w14:textId="77777777" w:rsidR="00E8662B" w:rsidRDefault="00B9173E">
      <w:pPr>
        <w:ind w:left="360" w:hanging="360"/>
        <w:jc w:val="both"/>
      </w:pPr>
      <w:r>
        <w:lastRenderedPageBreak/>
        <w:t>7.2.</w:t>
      </w:r>
      <w:r>
        <w:tab/>
        <w:t>Entire Agreement. This Agreement constitutes the entire agreement between the Parties in relation to its subject matter and supersedes all prior representations, discussions and agreements.</w:t>
      </w:r>
    </w:p>
    <w:p w14:paraId="2E7143F5" w14:textId="77777777" w:rsidR="00E8662B" w:rsidRDefault="00B9173E">
      <w:pPr>
        <w:ind w:left="360" w:hanging="360"/>
        <w:jc w:val="both"/>
      </w:pPr>
      <w:r>
        <w:t>7.3.</w:t>
      </w:r>
      <w:r>
        <w:tab/>
        <w:t>Amendment. No amendment to this Agreement shall be valid unless made in writing and duly signed by authorised representatives of both Parties.</w:t>
      </w:r>
    </w:p>
    <w:p w14:paraId="2E7143F6" w14:textId="77777777" w:rsidR="00E8662B" w:rsidRDefault="00B9173E">
      <w:pPr>
        <w:ind w:left="360" w:hanging="360"/>
        <w:jc w:val="both"/>
      </w:pPr>
      <w:r>
        <w:t>7.4.</w:t>
      </w:r>
      <w:r>
        <w:tab/>
        <w:t>Severability. If any provision of this Agreement is held invalid or unenforceable, it shall be deemed modified to the minimum extent necessary to make it enforceable. If such modification is not possible, the relevant provision shall be deemed deleted. All other provisions shall continue in full force and effect.</w:t>
      </w:r>
    </w:p>
    <w:p w14:paraId="2E7143F7" w14:textId="77777777" w:rsidR="00E8662B" w:rsidRDefault="00B9173E">
      <w:pPr>
        <w:ind w:left="360" w:hanging="360"/>
        <w:jc w:val="both"/>
      </w:pPr>
      <w:r>
        <w:t>7.5.</w:t>
      </w:r>
      <w:r>
        <w:tab/>
        <w:t>Waiver. No failure or delay by a Party in exercising any right under this Agreement shall operate as a waiver of that right.</w:t>
      </w:r>
    </w:p>
    <w:p w14:paraId="2E7143F8" w14:textId="77777777" w:rsidR="00E8662B" w:rsidRDefault="00B9173E">
      <w:pPr>
        <w:ind w:left="360" w:hanging="360"/>
        <w:jc w:val="both"/>
      </w:pPr>
      <w:r>
        <w:t>7.6.</w:t>
      </w:r>
      <w:r>
        <w:tab/>
        <w:t>Notices. All notices under this Agreement shall be in writing and sent to the address of the respective Party as stated above, or such other address as may be notified in writing.</w:t>
      </w:r>
    </w:p>
    <w:p w14:paraId="2B69EBD8" w14:textId="28D78C31" w:rsidR="00846772" w:rsidRDefault="00846772" w:rsidP="001A62E8">
      <w:pPr>
        <w:ind w:left="360" w:hanging="360"/>
        <w:jc w:val="both"/>
      </w:pPr>
      <w:r>
        <w:t xml:space="preserve">7.7 Declaration - </w:t>
      </w:r>
      <w:r w:rsidR="001D45CD">
        <w:t xml:space="preserve">Notwithstanding anything contained in this Agreement, nothing herein shall be construed as creating any obligation, commitment, or representation by either Party to </w:t>
      </w:r>
      <w:r w:rsidR="001A62E8">
        <w:t>enter</w:t>
      </w:r>
      <w:r w:rsidR="001D45CD">
        <w:t xml:space="preserve"> any financial transaction, business arrangement, joint venture, partnership, or any other definitive agreement. Each Party acknowledges that the execution of this Agreement is exploratory in nature and does not, in any manner, assure, guarantee, or obligate either Party to conclude or proceed with any business or commercial transaction. Fu</w:t>
      </w:r>
      <w:r w:rsidR="001A62E8">
        <w:t>rther, e</w:t>
      </w:r>
      <w:r w:rsidR="001D45CD">
        <w:t>ach Party shall independently bear all costs, expenses, and liabilities incurred by it in connection with the evaluation, negotiation, and exploration of the Purpose, including but not limited to professional fees, travel expenses, due diligence costs, and any other expenditure, until such time as a separate definitive agreement is duly executed in writing by authorised representatives of both Parties. Upon execution of such definitive agreement, the allocation of costs and expenses shall be governed by the terms of that agreement.</w:t>
      </w:r>
    </w:p>
    <w:p w14:paraId="2E7143F9" w14:textId="77777777" w:rsidR="00E8662B" w:rsidRDefault="00B9173E">
      <w:pPr>
        <w:ind w:left="360" w:hanging="360"/>
        <w:jc w:val="both"/>
      </w:pPr>
      <w:r>
        <w:t>7.7.</w:t>
      </w:r>
      <w:r>
        <w:tab/>
        <w:t>Counterparts. This Agreement may be executed in counterparts, each of which shall be deemed an original and all of which together shall constitute one and the same instrument. Execution by electronic signature shall be deemed valid and binding.</w:t>
      </w:r>
    </w:p>
    <w:p w14:paraId="2E7143FA" w14:textId="77777777" w:rsidR="00E8662B" w:rsidRDefault="00E8662B"/>
    <w:p w14:paraId="2E7143FB" w14:textId="77777777" w:rsidR="00E8662B" w:rsidRDefault="00B9173E">
      <w:pPr>
        <w:shd w:val="clear" w:color="auto" w:fill="FFFFCC"/>
      </w:pPr>
      <w:r>
        <w:rPr>
          <w:b/>
          <w:bCs/>
          <w:color w:val="1F3864"/>
          <w:sz w:val="22"/>
          <w:szCs w:val="22"/>
        </w:rPr>
        <w:t>In Witness Whereof</w:t>
      </w:r>
    </w:p>
    <w:p w14:paraId="2E7143FC" w14:textId="77777777" w:rsidR="00E8662B" w:rsidRDefault="00B9173E">
      <w:pPr>
        <w:jc w:val="both"/>
      </w:pPr>
      <w:r>
        <w:t>The Parties have executed this Agreement as of the Effective Date.</w:t>
      </w:r>
    </w:p>
    <w:p w14:paraId="2E7143FD" w14:textId="77777777" w:rsidR="00E8662B" w:rsidRDefault="00E8662B"/>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E8662B" w14:paraId="2E71440A" w14:textId="77777777">
        <w:tc>
          <w:tcPr>
            <w:tcW w:w="4513" w:type="dxa"/>
            <w:tcBorders>
              <w:top w:val="single" w:sz="2" w:space="0" w:color="808080"/>
              <w:left w:val="single" w:sz="2" w:space="0" w:color="808080"/>
              <w:bottom w:val="single" w:sz="2" w:space="0" w:color="808080"/>
              <w:right w:val="single" w:sz="2" w:space="0" w:color="808080"/>
            </w:tcBorders>
            <w:tcMar>
              <w:top w:w="0" w:type="dxa"/>
              <w:left w:w="115" w:type="dxa"/>
              <w:bottom w:w="68" w:type="dxa"/>
              <w:right w:w="115" w:type="dxa"/>
            </w:tcMar>
          </w:tcPr>
          <w:p w14:paraId="2E7143FE" w14:textId="77777777" w:rsidR="00E8662B" w:rsidRDefault="00B9173E">
            <w:r>
              <w:rPr>
                <w:b/>
                <w:bCs/>
              </w:rPr>
              <w:t>For Party A:</w:t>
            </w:r>
          </w:p>
          <w:p w14:paraId="2E7143FF" w14:textId="77777777" w:rsidR="00E8662B" w:rsidRDefault="00E8662B"/>
          <w:p w14:paraId="2E714400" w14:textId="0785C97C" w:rsidR="00E8662B" w:rsidRDefault="00B9173E">
            <w:r>
              <w:t xml:space="preserve">Name: </w:t>
            </w:r>
          </w:p>
          <w:p w14:paraId="2E714401" w14:textId="25CC0407" w:rsidR="00E8662B" w:rsidRDefault="00B9173E">
            <w:r>
              <w:t>Designation:</w:t>
            </w:r>
          </w:p>
          <w:p w14:paraId="2E714402" w14:textId="77777777" w:rsidR="00E8662B" w:rsidRDefault="00B9173E">
            <w:r>
              <w:t>Signature: ___________________________</w:t>
            </w:r>
          </w:p>
          <w:p w14:paraId="2E714403" w14:textId="693CD5DD" w:rsidR="00E8662B" w:rsidRDefault="00B9173E">
            <w:r>
              <w:t xml:space="preserve">Date: </w:t>
            </w:r>
          </w:p>
        </w:tc>
        <w:tc>
          <w:tcPr>
            <w:tcW w:w="4513" w:type="dxa"/>
            <w:tcBorders>
              <w:top w:val="single" w:sz="2" w:space="0" w:color="808080"/>
              <w:left w:val="single" w:sz="2" w:space="0" w:color="808080"/>
              <w:bottom w:val="single" w:sz="2" w:space="0" w:color="808080"/>
              <w:right w:val="single" w:sz="2" w:space="0" w:color="808080"/>
            </w:tcBorders>
            <w:tcMar>
              <w:top w:w="0" w:type="dxa"/>
              <w:left w:w="115" w:type="dxa"/>
              <w:bottom w:w="68" w:type="dxa"/>
              <w:right w:w="115" w:type="dxa"/>
            </w:tcMar>
          </w:tcPr>
          <w:p w14:paraId="2E714404" w14:textId="77777777" w:rsidR="00E8662B" w:rsidRDefault="00B9173E">
            <w:r>
              <w:rPr>
                <w:b/>
                <w:bCs/>
              </w:rPr>
              <w:t>For Party B:</w:t>
            </w:r>
          </w:p>
          <w:p w14:paraId="2E714405" w14:textId="77777777" w:rsidR="00E8662B" w:rsidRDefault="00E8662B"/>
          <w:p w14:paraId="2E714406" w14:textId="5DE571DA" w:rsidR="00E8662B" w:rsidRDefault="00B9173E">
            <w:r>
              <w:t xml:space="preserve">Name: </w:t>
            </w:r>
          </w:p>
          <w:p w14:paraId="2E714407" w14:textId="5852A7C7" w:rsidR="00E8662B" w:rsidRDefault="00B9173E">
            <w:r>
              <w:t>Designation:</w:t>
            </w:r>
          </w:p>
          <w:p w14:paraId="2E714408" w14:textId="77777777" w:rsidR="00E8662B" w:rsidRDefault="00B9173E">
            <w:r>
              <w:t>Signature: ___________________________</w:t>
            </w:r>
          </w:p>
          <w:p w14:paraId="2E714409" w14:textId="12485A48" w:rsidR="00E8662B" w:rsidRDefault="00B9173E">
            <w:r>
              <w:t xml:space="preserve">Date: </w:t>
            </w:r>
          </w:p>
        </w:tc>
      </w:tr>
    </w:tbl>
    <w:p w14:paraId="2E71440B" w14:textId="77777777" w:rsidR="00B9173E" w:rsidRDefault="00B9173E"/>
    <w:sectPr w:rsidR="00B9173E" w:rsidSect="00A379F7">
      <w:headerReference w:type="default" r:id="rId7"/>
      <w:footerReference w:type="default" r:id="rId8"/>
      <w:headerReference w:type="first" r:id="rId9"/>
      <w:footerReference w:type="first" r:id="rId10"/>
      <w:pgSz w:w="11906" w:h="16838"/>
      <w:pgMar w:top="1440" w:right="1440" w:bottom="1440" w:left="1440"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F34D0" w14:textId="77777777" w:rsidR="007B1194" w:rsidRDefault="007B1194" w:rsidP="00A379F7">
      <w:r>
        <w:separator/>
      </w:r>
    </w:p>
  </w:endnote>
  <w:endnote w:type="continuationSeparator" w:id="0">
    <w:p w14:paraId="5DC59F91" w14:textId="77777777" w:rsidR="007B1194" w:rsidRDefault="007B1194" w:rsidP="00A37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40" w:type="dxa"/>
      <w:tblInd w:w="-11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44"/>
      <w:gridCol w:w="3005"/>
      <w:gridCol w:w="3624"/>
      <w:gridCol w:w="567"/>
    </w:tblGrid>
    <w:tr w:rsidR="00A379F7" w:rsidRPr="00A379F7" w14:paraId="7CF189C6" w14:textId="77777777" w:rsidTr="00A379F7">
      <w:tc>
        <w:tcPr>
          <w:tcW w:w="4144" w:type="dxa"/>
          <w:tcBorders>
            <w:top w:val="single" w:sz="4" w:space="0" w:color="FFFFFF"/>
            <w:left w:val="single" w:sz="4" w:space="0" w:color="FFFFFF"/>
            <w:bottom w:val="single" w:sz="4" w:space="0" w:color="FFFFFF"/>
            <w:right w:val="single" w:sz="4" w:space="0" w:color="FFFFFF"/>
          </w:tcBorders>
          <w:hideMark/>
        </w:tcPr>
        <w:p w14:paraId="05F1841C" w14:textId="77777777" w:rsidR="00A379F7" w:rsidRPr="00A379F7" w:rsidRDefault="00A379F7" w:rsidP="00A379F7">
          <w:pPr>
            <w:tabs>
              <w:tab w:val="center" w:pos="4513"/>
              <w:tab w:val="right" w:pos="9026"/>
            </w:tabs>
            <w:rPr>
              <w:sz w:val="20"/>
            </w:rPr>
          </w:pPr>
          <w:r w:rsidRPr="00A379F7">
            <w:rPr>
              <w:sz w:val="20"/>
            </w:rPr>
            <w:t>Confidential Information</w:t>
          </w:r>
        </w:p>
      </w:tc>
      <w:tc>
        <w:tcPr>
          <w:tcW w:w="3005" w:type="dxa"/>
          <w:tcBorders>
            <w:top w:val="single" w:sz="4" w:space="0" w:color="FFFFFF"/>
            <w:left w:val="single" w:sz="4" w:space="0" w:color="FFFFFF"/>
            <w:bottom w:val="single" w:sz="4" w:space="0" w:color="FFFFFF"/>
            <w:right w:val="single" w:sz="4" w:space="0" w:color="FFFFFF"/>
          </w:tcBorders>
        </w:tcPr>
        <w:p w14:paraId="1D65CD10" w14:textId="77777777" w:rsidR="00A379F7" w:rsidRPr="00A379F7" w:rsidRDefault="00A379F7" w:rsidP="00A379F7">
          <w:pPr>
            <w:tabs>
              <w:tab w:val="center" w:pos="4513"/>
              <w:tab w:val="right" w:pos="9026"/>
            </w:tabs>
          </w:pPr>
        </w:p>
      </w:tc>
      <w:tc>
        <w:tcPr>
          <w:tcW w:w="3624" w:type="dxa"/>
          <w:tcBorders>
            <w:top w:val="single" w:sz="4" w:space="0" w:color="FFFFFF"/>
            <w:left w:val="single" w:sz="4" w:space="0" w:color="FFFFFF"/>
            <w:bottom w:val="single" w:sz="4" w:space="0" w:color="FFFFFF"/>
            <w:right w:val="single" w:sz="4" w:space="0" w:color="FFFFFF"/>
          </w:tcBorders>
          <w:hideMark/>
        </w:tcPr>
        <w:p w14:paraId="65789CB4" w14:textId="77777777" w:rsidR="00A379F7" w:rsidRPr="00A379F7" w:rsidRDefault="00A379F7" w:rsidP="00A379F7">
          <w:pPr>
            <w:tabs>
              <w:tab w:val="center" w:pos="4513"/>
              <w:tab w:val="right" w:pos="9026"/>
            </w:tabs>
            <w:jc w:val="right"/>
            <w:rPr>
              <w:sz w:val="20"/>
            </w:rPr>
          </w:pPr>
          <w:r w:rsidRPr="00A379F7">
            <w:rPr>
              <w:sz w:val="20"/>
            </w:rPr>
            <w:t xml:space="preserve">Page </w:t>
          </w:r>
          <w:r w:rsidRPr="00A379F7">
            <w:rPr>
              <w:b/>
              <w:bCs/>
              <w:sz w:val="20"/>
            </w:rPr>
            <w:fldChar w:fldCharType="begin"/>
          </w:r>
          <w:r w:rsidRPr="00A379F7">
            <w:rPr>
              <w:b/>
              <w:bCs/>
              <w:sz w:val="20"/>
            </w:rPr>
            <w:instrText xml:space="preserve"> PAGE  \* Arabic  \* MERGEFORMAT </w:instrText>
          </w:r>
          <w:r w:rsidRPr="00A379F7">
            <w:rPr>
              <w:b/>
              <w:bCs/>
              <w:sz w:val="20"/>
            </w:rPr>
            <w:fldChar w:fldCharType="separate"/>
          </w:r>
          <w:r w:rsidRPr="00A379F7">
            <w:rPr>
              <w:b/>
              <w:bCs/>
              <w:sz w:val="20"/>
            </w:rPr>
            <w:t>1</w:t>
          </w:r>
          <w:r w:rsidRPr="00A379F7">
            <w:rPr>
              <w:b/>
              <w:bCs/>
              <w:sz w:val="20"/>
            </w:rPr>
            <w:fldChar w:fldCharType="end"/>
          </w:r>
          <w:r w:rsidRPr="00A379F7">
            <w:rPr>
              <w:sz w:val="20"/>
            </w:rPr>
            <w:t xml:space="preserve"> of </w:t>
          </w:r>
          <w:r w:rsidRPr="00A379F7">
            <w:rPr>
              <w:b/>
              <w:bCs/>
              <w:sz w:val="20"/>
            </w:rPr>
            <w:fldChar w:fldCharType="begin"/>
          </w:r>
          <w:r w:rsidRPr="00A379F7">
            <w:rPr>
              <w:b/>
              <w:bCs/>
              <w:sz w:val="20"/>
            </w:rPr>
            <w:instrText xml:space="preserve"> NUMPAGES  \* Arabic  \* MERGEFORMAT </w:instrText>
          </w:r>
          <w:r w:rsidRPr="00A379F7">
            <w:rPr>
              <w:b/>
              <w:bCs/>
              <w:sz w:val="20"/>
            </w:rPr>
            <w:fldChar w:fldCharType="separate"/>
          </w:r>
          <w:r w:rsidRPr="00A379F7">
            <w:rPr>
              <w:b/>
              <w:bCs/>
              <w:sz w:val="20"/>
            </w:rPr>
            <w:t>2</w:t>
          </w:r>
          <w:r w:rsidRPr="00A379F7">
            <w:rPr>
              <w:b/>
              <w:bCs/>
              <w:sz w:val="20"/>
            </w:rPr>
            <w:fldChar w:fldCharType="end"/>
          </w:r>
        </w:p>
      </w:tc>
      <w:tc>
        <w:tcPr>
          <w:tcW w:w="567" w:type="dxa"/>
          <w:tcBorders>
            <w:top w:val="single" w:sz="4" w:space="0" w:color="FFFFFF"/>
            <w:left w:val="single" w:sz="4" w:space="0" w:color="FFFFFF"/>
            <w:bottom w:val="single" w:sz="4" w:space="0" w:color="FFFFFF"/>
            <w:right w:val="single" w:sz="4" w:space="0" w:color="FFFFFF"/>
          </w:tcBorders>
        </w:tcPr>
        <w:p w14:paraId="5F208094" w14:textId="77777777" w:rsidR="00A379F7" w:rsidRPr="00A379F7" w:rsidRDefault="00A379F7" w:rsidP="00A379F7">
          <w:pPr>
            <w:tabs>
              <w:tab w:val="center" w:pos="4513"/>
              <w:tab w:val="right" w:pos="9026"/>
            </w:tabs>
          </w:pPr>
        </w:p>
      </w:tc>
    </w:tr>
    <w:tr w:rsidR="00A379F7" w:rsidRPr="00A379F7" w14:paraId="467230FB" w14:textId="77777777" w:rsidTr="00A379F7">
      <w:tc>
        <w:tcPr>
          <w:tcW w:w="4144" w:type="dxa"/>
          <w:tcBorders>
            <w:top w:val="single" w:sz="4" w:space="0" w:color="FFFFFF"/>
            <w:left w:val="single" w:sz="4" w:space="0" w:color="FFFFFF"/>
            <w:bottom w:val="single" w:sz="4" w:space="0" w:color="FFFFFF"/>
            <w:right w:val="single" w:sz="4" w:space="0" w:color="FFFFFF"/>
          </w:tcBorders>
        </w:tcPr>
        <w:p w14:paraId="593F733B" w14:textId="77777777" w:rsidR="00A379F7" w:rsidRPr="00A379F7" w:rsidRDefault="00A379F7" w:rsidP="00A379F7">
          <w:pPr>
            <w:tabs>
              <w:tab w:val="center" w:pos="4513"/>
              <w:tab w:val="right" w:pos="9026"/>
            </w:tabs>
          </w:pPr>
        </w:p>
      </w:tc>
      <w:tc>
        <w:tcPr>
          <w:tcW w:w="3005" w:type="dxa"/>
          <w:tcBorders>
            <w:top w:val="single" w:sz="4" w:space="0" w:color="FFFFFF"/>
            <w:left w:val="single" w:sz="4" w:space="0" w:color="FFFFFF"/>
            <w:bottom w:val="single" w:sz="4" w:space="0" w:color="FFFFFF"/>
            <w:right w:val="single" w:sz="4" w:space="0" w:color="FFFFFF"/>
          </w:tcBorders>
        </w:tcPr>
        <w:p w14:paraId="72347379" w14:textId="77777777" w:rsidR="00A379F7" w:rsidRPr="00A379F7" w:rsidRDefault="00A379F7" w:rsidP="00A379F7">
          <w:pPr>
            <w:tabs>
              <w:tab w:val="center" w:pos="4513"/>
              <w:tab w:val="right" w:pos="9026"/>
            </w:tabs>
          </w:pPr>
        </w:p>
      </w:tc>
      <w:tc>
        <w:tcPr>
          <w:tcW w:w="4191" w:type="dxa"/>
          <w:gridSpan w:val="2"/>
          <w:tcBorders>
            <w:top w:val="single" w:sz="4" w:space="0" w:color="FFFFFF"/>
            <w:left w:val="single" w:sz="4" w:space="0" w:color="FFFFFF"/>
            <w:bottom w:val="single" w:sz="4" w:space="0" w:color="FFFFFF"/>
            <w:right w:val="single" w:sz="4" w:space="0" w:color="FFFFFF"/>
          </w:tcBorders>
        </w:tcPr>
        <w:p w14:paraId="613EEF60" w14:textId="77777777" w:rsidR="00A379F7" w:rsidRPr="00A379F7" w:rsidRDefault="00A379F7" w:rsidP="00A379F7">
          <w:pPr>
            <w:tabs>
              <w:tab w:val="center" w:pos="4513"/>
              <w:tab w:val="right" w:pos="9026"/>
            </w:tabs>
          </w:pPr>
        </w:p>
      </w:tc>
    </w:tr>
  </w:tbl>
  <w:p w14:paraId="25CDF7BC" w14:textId="77777777" w:rsidR="00A379F7" w:rsidRPr="00A379F7" w:rsidRDefault="00A379F7" w:rsidP="00A379F7">
    <w:pPr>
      <w:tabs>
        <w:tab w:val="center" w:pos="4513"/>
        <w:tab w:val="right" w:pos="9026"/>
      </w:tabs>
      <w:jc w:val="both"/>
      <w:rPr>
        <w:rFonts w:eastAsia="Calibri" w:cs="Mangal"/>
        <w:szCs w:val="20"/>
        <w:lang w:val="en-US" w:eastAsia="en-US" w:bidi="mr-IN"/>
        <w14:ligatures w14:val="standardContextual"/>
      </w:rPr>
    </w:pPr>
  </w:p>
  <w:p w14:paraId="69A5A602" w14:textId="77777777" w:rsidR="00A379F7" w:rsidRPr="00A379F7" w:rsidRDefault="00A379F7" w:rsidP="00A379F7">
    <w:pPr>
      <w:tabs>
        <w:tab w:val="center" w:pos="4513"/>
        <w:tab w:val="right" w:pos="9026"/>
      </w:tabs>
      <w:jc w:val="both"/>
      <w:rPr>
        <w:rFonts w:eastAsia="Calibri" w:cs="Mangal"/>
        <w:szCs w:val="20"/>
        <w:lang w:val="en-US" w:eastAsia="en-US" w:bidi="mr-IN"/>
        <w14:ligatures w14:val="standardContextu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40" w:type="dxa"/>
      <w:tblInd w:w="-11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44"/>
      <w:gridCol w:w="3005"/>
      <w:gridCol w:w="3624"/>
      <w:gridCol w:w="567"/>
    </w:tblGrid>
    <w:tr w:rsidR="00A379F7" w:rsidRPr="00A379F7" w14:paraId="5CD7B607" w14:textId="77777777" w:rsidTr="00A379F7">
      <w:tc>
        <w:tcPr>
          <w:tcW w:w="4144" w:type="dxa"/>
          <w:tcBorders>
            <w:top w:val="single" w:sz="4" w:space="0" w:color="FFFFFF"/>
            <w:left w:val="single" w:sz="4" w:space="0" w:color="FFFFFF"/>
            <w:bottom w:val="single" w:sz="4" w:space="0" w:color="FFFFFF"/>
            <w:right w:val="single" w:sz="4" w:space="0" w:color="FFFFFF"/>
          </w:tcBorders>
          <w:hideMark/>
        </w:tcPr>
        <w:p w14:paraId="0A521A07" w14:textId="77777777" w:rsidR="00A379F7" w:rsidRPr="00A379F7" w:rsidRDefault="00A379F7" w:rsidP="00A379F7">
          <w:pPr>
            <w:tabs>
              <w:tab w:val="center" w:pos="4513"/>
              <w:tab w:val="right" w:pos="9026"/>
            </w:tabs>
            <w:rPr>
              <w:sz w:val="20"/>
            </w:rPr>
          </w:pPr>
          <w:r w:rsidRPr="00A379F7">
            <w:rPr>
              <w:sz w:val="20"/>
            </w:rPr>
            <w:t>Confidential Information</w:t>
          </w:r>
        </w:p>
      </w:tc>
      <w:tc>
        <w:tcPr>
          <w:tcW w:w="3005" w:type="dxa"/>
          <w:tcBorders>
            <w:top w:val="single" w:sz="4" w:space="0" w:color="FFFFFF"/>
            <w:left w:val="single" w:sz="4" w:space="0" w:color="FFFFFF"/>
            <w:bottom w:val="single" w:sz="4" w:space="0" w:color="FFFFFF"/>
            <w:right w:val="single" w:sz="4" w:space="0" w:color="FFFFFF"/>
          </w:tcBorders>
        </w:tcPr>
        <w:p w14:paraId="0ABD3B04" w14:textId="77777777" w:rsidR="00A379F7" w:rsidRPr="00A379F7" w:rsidRDefault="00A379F7" w:rsidP="00A379F7">
          <w:pPr>
            <w:tabs>
              <w:tab w:val="center" w:pos="4513"/>
              <w:tab w:val="right" w:pos="9026"/>
            </w:tabs>
          </w:pPr>
        </w:p>
      </w:tc>
      <w:tc>
        <w:tcPr>
          <w:tcW w:w="3624" w:type="dxa"/>
          <w:tcBorders>
            <w:top w:val="single" w:sz="4" w:space="0" w:color="FFFFFF"/>
            <w:left w:val="single" w:sz="4" w:space="0" w:color="FFFFFF"/>
            <w:bottom w:val="single" w:sz="4" w:space="0" w:color="FFFFFF"/>
            <w:right w:val="single" w:sz="4" w:space="0" w:color="FFFFFF"/>
          </w:tcBorders>
          <w:hideMark/>
        </w:tcPr>
        <w:p w14:paraId="188DABF9" w14:textId="77777777" w:rsidR="00A379F7" w:rsidRPr="00A379F7" w:rsidRDefault="00A379F7" w:rsidP="00A379F7">
          <w:pPr>
            <w:tabs>
              <w:tab w:val="center" w:pos="4513"/>
              <w:tab w:val="right" w:pos="9026"/>
            </w:tabs>
            <w:jc w:val="right"/>
            <w:rPr>
              <w:sz w:val="20"/>
            </w:rPr>
          </w:pPr>
          <w:r w:rsidRPr="00A379F7">
            <w:rPr>
              <w:sz w:val="20"/>
            </w:rPr>
            <w:t xml:space="preserve">Page </w:t>
          </w:r>
          <w:r w:rsidRPr="00A379F7">
            <w:rPr>
              <w:b/>
              <w:bCs/>
              <w:sz w:val="20"/>
            </w:rPr>
            <w:fldChar w:fldCharType="begin"/>
          </w:r>
          <w:r w:rsidRPr="00A379F7">
            <w:rPr>
              <w:b/>
              <w:bCs/>
              <w:sz w:val="20"/>
            </w:rPr>
            <w:instrText xml:space="preserve"> PAGE  \* Arabic  \* MERGEFORMAT </w:instrText>
          </w:r>
          <w:r w:rsidRPr="00A379F7">
            <w:rPr>
              <w:b/>
              <w:bCs/>
              <w:sz w:val="20"/>
            </w:rPr>
            <w:fldChar w:fldCharType="separate"/>
          </w:r>
          <w:r w:rsidRPr="00A379F7">
            <w:rPr>
              <w:b/>
              <w:bCs/>
              <w:sz w:val="20"/>
            </w:rPr>
            <w:t>1</w:t>
          </w:r>
          <w:r w:rsidRPr="00A379F7">
            <w:rPr>
              <w:b/>
              <w:bCs/>
              <w:sz w:val="20"/>
            </w:rPr>
            <w:fldChar w:fldCharType="end"/>
          </w:r>
          <w:r w:rsidRPr="00A379F7">
            <w:rPr>
              <w:sz w:val="20"/>
            </w:rPr>
            <w:t xml:space="preserve"> of </w:t>
          </w:r>
          <w:r w:rsidRPr="00A379F7">
            <w:rPr>
              <w:b/>
              <w:bCs/>
              <w:sz w:val="20"/>
            </w:rPr>
            <w:fldChar w:fldCharType="begin"/>
          </w:r>
          <w:r w:rsidRPr="00A379F7">
            <w:rPr>
              <w:b/>
              <w:bCs/>
              <w:sz w:val="20"/>
            </w:rPr>
            <w:instrText xml:space="preserve"> NUMPAGES  \* Arabic  \* MERGEFORMAT </w:instrText>
          </w:r>
          <w:r w:rsidRPr="00A379F7">
            <w:rPr>
              <w:b/>
              <w:bCs/>
              <w:sz w:val="20"/>
            </w:rPr>
            <w:fldChar w:fldCharType="separate"/>
          </w:r>
          <w:r w:rsidRPr="00A379F7">
            <w:rPr>
              <w:b/>
              <w:bCs/>
              <w:sz w:val="20"/>
            </w:rPr>
            <w:t>2</w:t>
          </w:r>
          <w:r w:rsidRPr="00A379F7">
            <w:rPr>
              <w:b/>
              <w:bCs/>
              <w:sz w:val="20"/>
            </w:rPr>
            <w:fldChar w:fldCharType="end"/>
          </w:r>
        </w:p>
      </w:tc>
      <w:tc>
        <w:tcPr>
          <w:tcW w:w="567" w:type="dxa"/>
          <w:tcBorders>
            <w:top w:val="single" w:sz="4" w:space="0" w:color="FFFFFF"/>
            <w:left w:val="single" w:sz="4" w:space="0" w:color="FFFFFF"/>
            <w:bottom w:val="single" w:sz="4" w:space="0" w:color="FFFFFF"/>
            <w:right w:val="single" w:sz="4" w:space="0" w:color="FFFFFF"/>
          </w:tcBorders>
        </w:tcPr>
        <w:p w14:paraId="0E0B26AF" w14:textId="77777777" w:rsidR="00A379F7" w:rsidRPr="00A379F7" w:rsidRDefault="00A379F7" w:rsidP="00A379F7">
          <w:pPr>
            <w:tabs>
              <w:tab w:val="center" w:pos="4513"/>
              <w:tab w:val="right" w:pos="9026"/>
            </w:tabs>
          </w:pPr>
        </w:p>
      </w:tc>
    </w:tr>
    <w:tr w:rsidR="00A379F7" w:rsidRPr="00A379F7" w14:paraId="1CBDE1AA" w14:textId="77777777" w:rsidTr="00A379F7">
      <w:tc>
        <w:tcPr>
          <w:tcW w:w="4144" w:type="dxa"/>
          <w:tcBorders>
            <w:top w:val="single" w:sz="4" w:space="0" w:color="FFFFFF"/>
            <w:left w:val="single" w:sz="4" w:space="0" w:color="FFFFFF"/>
            <w:bottom w:val="single" w:sz="4" w:space="0" w:color="FFFFFF"/>
            <w:right w:val="single" w:sz="4" w:space="0" w:color="FFFFFF"/>
          </w:tcBorders>
        </w:tcPr>
        <w:p w14:paraId="5A6F1C0F" w14:textId="77777777" w:rsidR="00A379F7" w:rsidRPr="00A379F7" w:rsidRDefault="00A379F7" w:rsidP="00A379F7">
          <w:pPr>
            <w:tabs>
              <w:tab w:val="center" w:pos="4513"/>
              <w:tab w:val="right" w:pos="9026"/>
            </w:tabs>
          </w:pPr>
        </w:p>
      </w:tc>
      <w:tc>
        <w:tcPr>
          <w:tcW w:w="3005" w:type="dxa"/>
          <w:tcBorders>
            <w:top w:val="single" w:sz="4" w:space="0" w:color="FFFFFF"/>
            <w:left w:val="single" w:sz="4" w:space="0" w:color="FFFFFF"/>
            <w:bottom w:val="single" w:sz="4" w:space="0" w:color="FFFFFF"/>
            <w:right w:val="single" w:sz="4" w:space="0" w:color="FFFFFF"/>
          </w:tcBorders>
        </w:tcPr>
        <w:p w14:paraId="73944C67" w14:textId="77777777" w:rsidR="00A379F7" w:rsidRPr="00A379F7" w:rsidRDefault="00A379F7" w:rsidP="00A379F7">
          <w:pPr>
            <w:tabs>
              <w:tab w:val="center" w:pos="4513"/>
              <w:tab w:val="right" w:pos="9026"/>
            </w:tabs>
          </w:pPr>
        </w:p>
      </w:tc>
      <w:tc>
        <w:tcPr>
          <w:tcW w:w="4191" w:type="dxa"/>
          <w:gridSpan w:val="2"/>
          <w:tcBorders>
            <w:top w:val="single" w:sz="4" w:space="0" w:color="FFFFFF"/>
            <w:left w:val="single" w:sz="4" w:space="0" w:color="FFFFFF"/>
            <w:bottom w:val="single" w:sz="4" w:space="0" w:color="FFFFFF"/>
            <w:right w:val="single" w:sz="4" w:space="0" w:color="FFFFFF"/>
          </w:tcBorders>
        </w:tcPr>
        <w:p w14:paraId="1B440D45" w14:textId="77777777" w:rsidR="00A379F7" w:rsidRPr="00A379F7" w:rsidRDefault="00A379F7" w:rsidP="00A379F7">
          <w:pPr>
            <w:tabs>
              <w:tab w:val="center" w:pos="4513"/>
              <w:tab w:val="right" w:pos="9026"/>
            </w:tabs>
          </w:pPr>
        </w:p>
      </w:tc>
    </w:tr>
  </w:tbl>
  <w:p w14:paraId="3B87092E" w14:textId="77777777" w:rsidR="00A379F7" w:rsidRPr="00A379F7" w:rsidRDefault="00A379F7" w:rsidP="00A379F7">
    <w:pPr>
      <w:tabs>
        <w:tab w:val="center" w:pos="4513"/>
        <w:tab w:val="right" w:pos="9026"/>
      </w:tabs>
      <w:jc w:val="both"/>
      <w:rPr>
        <w:rFonts w:eastAsia="Calibri" w:cs="Mangal"/>
        <w:szCs w:val="20"/>
        <w:lang w:val="en-US" w:eastAsia="en-US" w:bidi="mr-IN"/>
        <w14:ligatures w14:val="standardContextual"/>
      </w:rPr>
    </w:pPr>
  </w:p>
  <w:p w14:paraId="4677FC0F" w14:textId="77777777" w:rsidR="00A379F7" w:rsidRPr="00A379F7" w:rsidRDefault="00A379F7" w:rsidP="00A379F7">
    <w:pPr>
      <w:tabs>
        <w:tab w:val="center" w:pos="4513"/>
        <w:tab w:val="right" w:pos="9026"/>
      </w:tabs>
      <w:jc w:val="both"/>
      <w:rPr>
        <w:rFonts w:eastAsia="Calibri" w:cs="Mangal"/>
        <w:szCs w:val="20"/>
        <w:lang w:val="en-US" w:eastAsia="en-US" w:bidi="mr-IN"/>
        <w14:ligatures w14:val="standardContextu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624A6" w14:textId="77777777" w:rsidR="007B1194" w:rsidRDefault="007B1194" w:rsidP="00A379F7">
      <w:r>
        <w:separator/>
      </w:r>
    </w:p>
  </w:footnote>
  <w:footnote w:type="continuationSeparator" w:id="0">
    <w:p w14:paraId="79656B09" w14:textId="77777777" w:rsidR="007B1194" w:rsidRDefault="007B1194" w:rsidP="00A37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4"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9"/>
      <w:gridCol w:w="1803"/>
      <w:gridCol w:w="1803"/>
      <w:gridCol w:w="1803"/>
      <w:gridCol w:w="2706"/>
    </w:tblGrid>
    <w:tr w:rsidR="00A379F7" w:rsidRPr="00A379F7" w14:paraId="4FE69A76" w14:textId="77777777" w:rsidTr="003D2DD6">
      <w:trPr>
        <w:trHeight w:val="983"/>
      </w:trPr>
      <w:tc>
        <w:tcPr>
          <w:tcW w:w="2659" w:type="dxa"/>
        </w:tcPr>
        <w:p w14:paraId="4D6C6977" w14:textId="77777777" w:rsidR="00A379F7" w:rsidRPr="00A379F7" w:rsidRDefault="00A379F7" w:rsidP="00A379F7">
          <w:pPr>
            <w:tabs>
              <w:tab w:val="center" w:pos="4513"/>
              <w:tab w:val="right" w:pos="9026"/>
            </w:tabs>
          </w:pPr>
        </w:p>
      </w:tc>
      <w:tc>
        <w:tcPr>
          <w:tcW w:w="1803" w:type="dxa"/>
        </w:tcPr>
        <w:p w14:paraId="5316C84E" w14:textId="77777777" w:rsidR="00A379F7" w:rsidRPr="00A379F7" w:rsidRDefault="00A379F7" w:rsidP="00A379F7">
          <w:pPr>
            <w:tabs>
              <w:tab w:val="center" w:pos="4513"/>
              <w:tab w:val="right" w:pos="9026"/>
            </w:tabs>
          </w:pPr>
        </w:p>
      </w:tc>
      <w:tc>
        <w:tcPr>
          <w:tcW w:w="1803" w:type="dxa"/>
        </w:tcPr>
        <w:p w14:paraId="2C0F3C84" w14:textId="77777777" w:rsidR="00A379F7" w:rsidRPr="00A379F7" w:rsidRDefault="00A379F7" w:rsidP="00A379F7">
          <w:pPr>
            <w:tabs>
              <w:tab w:val="center" w:pos="4513"/>
              <w:tab w:val="right" w:pos="9026"/>
            </w:tabs>
          </w:pPr>
        </w:p>
      </w:tc>
      <w:tc>
        <w:tcPr>
          <w:tcW w:w="1803" w:type="dxa"/>
        </w:tcPr>
        <w:p w14:paraId="5F91682C" w14:textId="77777777" w:rsidR="00A379F7" w:rsidRPr="00A379F7" w:rsidRDefault="00A379F7" w:rsidP="00A379F7">
          <w:pPr>
            <w:tabs>
              <w:tab w:val="center" w:pos="4513"/>
              <w:tab w:val="right" w:pos="9026"/>
            </w:tabs>
          </w:pPr>
        </w:p>
      </w:tc>
      <w:tc>
        <w:tcPr>
          <w:tcW w:w="2706" w:type="dxa"/>
        </w:tcPr>
        <w:p w14:paraId="6856401E" w14:textId="77777777" w:rsidR="00A379F7" w:rsidRPr="00A379F7" w:rsidRDefault="00A379F7" w:rsidP="00A379F7">
          <w:pPr>
            <w:tabs>
              <w:tab w:val="center" w:pos="4513"/>
              <w:tab w:val="right" w:pos="9026"/>
            </w:tabs>
          </w:pPr>
        </w:p>
      </w:tc>
    </w:tr>
  </w:tbl>
  <w:p w14:paraId="5CC0795B" w14:textId="77777777" w:rsidR="00A379F7" w:rsidRPr="00A379F7" w:rsidRDefault="00A379F7" w:rsidP="00A379F7">
    <w:pPr>
      <w:tabs>
        <w:tab w:val="center" w:pos="4513"/>
        <w:tab w:val="right" w:pos="9026"/>
      </w:tabs>
      <w:jc w:val="both"/>
      <w:rPr>
        <w:rFonts w:eastAsia="Calibri" w:cs="Mangal"/>
        <w:szCs w:val="20"/>
        <w:lang w:val="en-US" w:eastAsia="en-US" w:bidi="mr-IN"/>
        <w14:ligatures w14:val="standardContextu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4"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9"/>
      <w:gridCol w:w="1803"/>
      <w:gridCol w:w="1803"/>
      <w:gridCol w:w="1803"/>
      <w:gridCol w:w="2706"/>
    </w:tblGrid>
    <w:tr w:rsidR="00A379F7" w:rsidRPr="00A379F7" w14:paraId="24784890" w14:textId="77777777" w:rsidTr="00047CA4">
      <w:trPr>
        <w:trHeight w:val="983"/>
      </w:trPr>
      <w:tc>
        <w:tcPr>
          <w:tcW w:w="2659" w:type="dxa"/>
        </w:tcPr>
        <w:p w14:paraId="00F84696" w14:textId="77777777" w:rsidR="00A379F7" w:rsidRPr="00047CA4" w:rsidRDefault="00A379F7" w:rsidP="00A379F7">
          <w:pPr>
            <w:tabs>
              <w:tab w:val="center" w:pos="4513"/>
              <w:tab w:val="right" w:pos="9026"/>
            </w:tabs>
          </w:pPr>
        </w:p>
      </w:tc>
      <w:tc>
        <w:tcPr>
          <w:tcW w:w="1803" w:type="dxa"/>
        </w:tcPr>
        <w:p w14:paraId="4FB89D77" w14:textId="77777777" w:rsidR="00A379F7" w:rsidRPr="00047CA4" w:rsidRDefault="00A379F7" w:rsidP="00A379F7">
          <w:pPr>
            <w:tabs>
              <w:tab w:val="center" w:pos="4513"/>
              <w:tab w:val="right" w:pos="9026"/>
            </w:tabs>
          </w:pPr>
        </w:p>
      </w:tc>
      <w:tc>
        <w:tcPr>
          <w:tcW w:w="1803" w:type="dxa"/>
        </w:tcPr>
        <w:p w14:paraId="787DC82D" w14:textId="77777777" w:rsidR="00A379F7" w:rsidRPr="00A379F7" w:rsidRDefault="00A379F7" w:rsidP="00A379F7">
          <w:pPr>
            <w:tabs>
              <w:tab w:val="center" w:pos="4513"/>
              <w:tab w:val="right" w:pos="9026"/>
            </w:tabs>
          </w:pPr>
        </w:p>
      </w:tc>
      <w:tc>
        <w:tcPr>
          <w:tcW w:w="1803" w:type="dxa"/>
        </w:tcPr>
        <w:p w14:paraId="0C756BE0" w14:textId="77777777" w:rsidR="00A379F7" w:rsidRPr="00A379F7" w:rsidRDefault="00A379F7" w:rsidP="00A379F7">
          <w:pPr>
            <w:tabs>
              <w:tab w:val="center" w:pos="4513"/>
              <w:tab w:val="right" w:pos="9026"/>
            </w:tabs>
          </w:pPr>
        </w:p>
      </w:tc>
      <w:tc>
        <w:tcPr>
          <w:tcW w:w="2706" w:type="dxa"/>
        </w:tcPr>
        <w:p w14:paraId="0FB817DE" w14:textId="77777777" w:rsidR="00A379F7" w:rsidRPr="00A379F7" w:rsidRDefault="00A379F7" w:rsidP="00A379F7">
          <w:pPr>
            <w:tabs>
              <w:tab w:val="center" w:pos="4513"/>
              <w:tab w:val="right" w:pos="9026"/>
            </w:tabs>
          </w:pPr>
        </w:p>
      </w:tc>
    </w:tr>
  </w:tbl>
  <w:p w14:paraId="35847688" w14:textId="77777777" w:rsidR="00A379F7" w:rsidRPr="00A379F7" w:rsidRDefault="00A379F7" w:rsidP="00A379F7">
    <w:pPr>
      <w:tabs>
        <w:tab w:val="center" w:pos="4513"/>
        <w:tab w:val="right" w:pos="9026"/>
      </w:tabs>
      <w:jc w:val="both"/>
      <w:rPr>
        <w:rFonts w:eastAsia="Calibri" w:cs="Mangal"/>
        <w:szCs w:val="20"/>
        <w:lang w:val="en-US" w:eastAsia="en-US" w:bidi="mr-IN"/>
        <w14:ligatures w14:val="standardContextu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1548C"/>
    <w:multiLevelType w:val="hybridMultilevel"/>
    <w:tmpl w:val="6A665C74"/>
    <w:lvl w:ilvl="0" w:tplc="34A28A9A">
      <w:start w:val="1"/>
      <w:numFmt w:val="bullet"/>
      <w:lvlText w:val="●"/>
      <w:lvlJc w:val="left"/>
      <w:pPr>
        <w:ind w:left="720" w:hanging="360"/>
      </w:pPr>
    </w:lvl>
    <w:lvl w:ilvl="1" w:tplc="DE08836E">
      <w:start w:val="1"/>
      <w:numFmt w:val="bullet"/>
      <w:lvlText w:val="○"/>
      <w:lvlJc w:val="left"/>
      <w:pPr>
        <w:ind w:left="1440" w:hanging="360"/>
      </w:pPr>
    </w:lvl>
    <w:lvl w:ilvl="2" w:tplc="9D3A5E74">
      <w:start w:val="1"/>
      <w:numFmt w:val="bullet"/>
      <w:lvlText w:val="■"/>
      <w:lvlJc w:val="left"/>
      <w:pPr>
        <w:ind w:left="2160" w:hanging="360"/>
      </w:pPr>
    </w:lvl>
    <w:lvl w:ilvl="3" w:tplc="09C4F824">
      <w:start w:val="1"/>
      <w:numFmt w:val="bullet"/>
      <w:lvlText w:val="●"/>
      <w:lvlJc w:val="left"/>
      <w:pPr>
        <w:ind w:left="2880" w:hanging="360"/>
      </w:pPr>
    </w:lvl>
    <w:lvl w:ilvl="4" w:tplc="25DCDED6">
      <w:start w:val="1"/>
      <w:numFmt w:val="bullet"/>
      <w:lvlText w:val="○"/>
      <w:lvlJc w:val="left"/>
      <w:pPr>
        <w:ind w:left="3600" w:hanging="360"/>
      </w:pPr>
    </w:lvl>
    <w:lvl w:ilvl="5" w:tplc="7758CE52">
      <w:start w:val="1"/>
      <w:numFmt w:val="bullet"/>
      <w:lvlText w:val="■"/>
      <w:lvlJc w:val="left"/>
      <w:pPr>
        <w:ind w:left="4320" w:hanging="360"/>
      </w:pPr>
    </w:lvl>
    <w:lvl w:ilvl="6" w:tplc="D8861F8E">
      <w:start w:val="1"/>
      <w:numFmt w:val="bullet"/>
      <w:lvlText w:val="●"/>
      <w:lvlJc w:val="left"/>
      <w:pPr>
        <w:ind w:left="5040" w:hanging="360"/>
      </w:pPr>
    </w:lvl>
    <w:lvl w:ilvl="7" w:tplc="D668E46A">
      <w:start w:val="1"/>
      <w:numFmt w:val="bullet"/>
      <w:lvlText w:val="●"/>
      <w:lvlJc w:val="left"/>
      <w:pPr>
        <w:ind w:left="5760" w:hanging="360"/>
      </w:pPr>
    </w:lvl>
    <w:lvl w:ilvl="8" w:tplc="3DE0097C">
      <w:start w:val="1"/>
      <w:numFmt w:val="bullet"/>
      <w:lvlText w:val="●"/>
      <w:lvlJc w:val="left"/>
      <w:pPr>
        <w:ind w:left="6480" w:hanging="360"/>
      </w:pPr>
    </w:lvl>
  </w:abstractNum>
  <w:num w:numId="1" w16cid:durableId="16669338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62B"/>
    <w:rsid w:val="00025AF2"/>
    <w:rsid w:val="00047CA4"/>
    <w:rsid w:val="000D04A5"/>
    <w:rsid w:val="00107F97"/>
    <w:rsid w:val="001A62E8"/>
    <w:rsid w:val="001D45CD"/>
    <w:rsid w:val="00337541"/>
    <w:rsid w:val="003641A4"/>
    <w:rsid w:val="003719F9"/>
    <w:rsid w:val="003D2DD6"/>
    <w:rsid w:val="004A7A38"/>
    <w:rsid w:val="004F1CC4"/>
    <w:rsid w:val="00503616"/>
    <w:rsid w:val="00664945"/>
    <w:rsid w:val="00727237"/>
    <w:rsid w:val="007B1194"/>
    <w:rsid w:val="00846772"/>
    <w:rsid w:val="008A2FEA"/>
    <w:rsid w:val="008B4D41"/>
    <w:rsid w:val="008C6F67"/>
    <w:rsid w:val="0093535C"/>
    <w:rsid w:val="00A379F7"/>
    <w:rsid w:val="00AA40E5"/>
    <w:rsid w:val="00B37D4C"/>
    <w:rsid w:val="00B65849"/>
    <w:rsid w:val="00B9173E"/>
    <w:rsid w:val="00D11E05"/>
    <w:rsid w:val="00D45785"/>
    <w:rsid w:val="00E8662B"/>
    <w:rsid w:val="00F14F9B"/>
    <w:rsid w:val="00F30B4B"/>
    <w:rsid w:val="00F571A1"/>
    <w:rsid w:val="00F75CC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143C5"/>
  <w15:docId w15:val="{84C78AED-BDFD-43B1-B040-65DF881C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Segoe UI"/>
        <w:sz w:val="21"/>
        <w:szCs w:val="21"/>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F97"/>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A379F7"/>
    <w:pPr>
      <w:tabs>
        <w:tab w:val="center" w:pos="4513"/>
        <w:tab w:val="right" w:pos="9026"/>
      </w:tabs>
    </w:pPr>
  </w:style>
  <w:style w:type="character" w:customStyle="1" w:styleId="HeaderChar">
    <w:name w:val="Header Char"/>
    <w:basedOn w:val="DefaultParagraphFont"/>
    <w:link w:val="Header"/>
    <w:uiPriority w:val="99"/>
    <w:rsid w:val="00A379F7"/>
  </w:style>
  <w:style w:type="paragraph" w:styleId="Footer">
    <w:name w:val="footer"/>
    <w:basedOn w:val="Normal"/>
    <w:link w:val="FooterChar"/>
    <w:uiPriority w:val="99"/>
    <w:unhideWhenUsed/>
    <w:rsid w:val="00A379F7"/>
    <w:pPr>
      <w:tabs>
        <w:tab w:val="center" w:pos="4513"/>
        <w:tab w:val="right" w:pos="9026"/>
      </w:tabs>
    </w:pPr>
  </w:style>
  <w:style w:type="character" w:customStyle="1" w:styleId="FooterChar">
    <w:name w:val="Footer Char"/>
    <w:basedOn w:val="DefaultParagraphFont"/>
    <w:link w:val="Footer"/>
    <w:uiPriority w:val="99"/>
    <w:rsid w:val="00A379F7"/>
  </w:style>
  <w:style w:type="table" w:styleId="TableGrid">
    <w:name w:val="Table Grid"/>
    <w:basedOn w:val="TableNormal"/>
    <w:uiPriority w:val="39"/>
    <w:rsid w:val="00A379F7"/>
    <w:pPr>
      <w:jc w:val="both"/>
    </w:pPr>
    <w:rPr>
      <w:rFonts w:eastAsia="Calibri" w:cs="Mangal"/>
      <w:szCs w:val="20"/>
      <w:lang w:val="en-US" w:eastAsia="en-US" w:bidi="mr-I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21813E-5D9E-4CFF-A81A-F6971AC24115}">
  <we:reference id="wa200010453" version="1.0.0.1" store="en-US" storeType="OMEX"/>
  <we:alternateReferences>
    <we:reference id="WA200010453" version="1.0.0.1" store="" storeType="OMEX"/>
  </we:alternateReferences>
  <we:properties>
    <we:property name="claude.fileId" value="&quot;2f35f953-5622-48a4-a398-f4eb645e4042&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31</TotalTime>
  <Pages>3</Pages>
  <Words>1324</Words>
  <Characters>7365</Characters>
  <Application>Microsoft Office Word</Application>
  <DocSecurity>0</DocSecurity>
  <Lines>144</Lines>
  <Paragraphs>63</Paragraphs>
  <ScaleCrop>false</ScaleCrop>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dc:description>&lt;&gt;</dc:description>
  <cp:lastModifiedBy>Sadanand Sonar</cp:lastModifiedBy>
  <cp:revision>26</cp:revision>
  <dcterms:created xsi:type="dcterms:W3CDTF">2026-05-04T04:24:00Z</dcterms:created>
  <dcterms:modified xsi:type="dcterms:W3CDTF">2026-06-12T06:38:00Z</dcterms:modified>
</cp:coreProperties>
</file>